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jc w:val="center"/>
        <w:outlineLvl w:val="0"/>
        <w:rPr>
          <w:rFonts w:hint="eastAsia" w:ascii="方正小标宋简体" w:hAnsi="微软雅黑" w:eastAsia="方正小标宋简体" w:cs="宋体"/>
          <w:color w:val="333333"/>
          <w:kern w:val="36"/>
          <w:sz w:val="44"/>
          <w:szCs w:val="44"/>
        </w:rPr>
      </w:pPr>
      <w:r>
        <w:rPr>
          <w:rFonts w:hint="eastAsia" w:ascii="方正小标宋简体" w:hAnsi="微软雅黑" w:eastAsia="方正小标宋简体" w:cs="宋体"/>
          <w:color w:val="333333"/>
          <w:kern w:val="36"/>
          <w:sz w:val="44"/>
          <w:szCs w:val="44"/>
        </w:rPr>
        <w:t>淮南市粮食和物资储备局2020年政府</w:t>
      </w:r>
    </w:p>
    <w:p>
      <w:pPr>
        <w:widowControl/>
        <w:shd w:val="clear" w:color="auto" w:fill="FFFFFF"/>
        <w:spacing w:line="720" w:lineRule="atLeast"/>
        <w:jc w:val="center"/>
        <w:outlineLvl w:val="0"/>
        <w:rPr>
          <w:rFonts w:hint="eastAsia" w:ascii="方正小标宋简体" w:hAnsi="微软雅黑" w:eastAsia="方正小标宋简体" w:cs="宋体"/>
          <w:color w:val="333333"/>
          <w:kern w:val="36"/>
          <w:sz w:val="44"/>
          <w:szCs w:val="44"/>
        </w:rPr>
      </w:pPr>
      <w:r>
        <w:rPr>
          <w:rFonts w:hint="eastAsia" w:ascii="方正小标宋简体" w:hAnsi="微软雅黑" w:eastAsia="方正小标宋简体" w:cs="宋体"/>
          <w:color w:val="333333"/>
          <w:kern w:val="36"/>
          <w:sz w:val="44"/>
          <w:szCs w:val="44"/>
        </w:rPr>
        <w:t>信息公开工作年度报告</w:t>
      </w:r>
    </w:p>
    <w:p>
      <w:pPr>
        <w:widowControl/>
        <w:shd w:val="clear" w:color="auto" w:fill="FFFFFF"/>
        <w:spacing w:line="450" w:lineRule="atLeast"/>
        <w:jc w:val="center"/>
        <w:rPr>
          <w:rFonts w:hint="eastAsia" w:ascii="微软雅黑" w:hAnsi="微软雅黑" w:eastAsia="微软雅黑" w:cs="宋体"/>
          <w:color w:val="999999"/>
          <w:kern w:val="0"/>
          <w:szCs w:val="21"/>
        </w:rPr>
      </w:pPr>
      <w:r>
        <w:rPr>
          <w:rFonts w:hint="eastAsia" w:ascii="微软雅黑" w:hAnsi="微软雅黑" w:eastAsia="微软雅黑" w:cs="宋体"/>
          <w:color w:val="999999"/>
          <w:kern w:val="0"/>
        </w:rPr>
        <w:t>  </w:t>
      </w:r>
      <w:r>
        <w:rPr>
          <w:rFonts w:hint="eastAsia" w:ascii="微软雅黑" w:hAnsi="微软雅黑" w:eastAsia="微软雅黑" w:cs="宋体"/>
          <w:color w:val="999999"/>
          <w:kern w:val="0"/>
          <w:szCs w:val="21"/>
        </w:rPr>
        <w:t> </w:t>
      </w:r>
    </w:p>
    <w:p>
      <w:pPr>
        <w:widowControl/>
        <w:shd w:val="clear" w:color="auto" w:fill="FFFFFF"/>
        <w:wordWrap w:val="0"/>
        <w:spacing w:line="578" w:lineRule="atLeast"/>
        <w:rPr>
          <w:rFonts w:hint="eastAsia" w:ascii="Times New Roman" w:hAnsi="Times New Roman" w:eastAsia="微软雅黑" w:cs="Times New Roman"/>
          <w:color w:val="333333"/>
          <w:kern w:val="0"/>
          <w:szCs w:val="21"/>
        </w:rPr>
      </w:pPr>
      <w:r>
        <w:rPr>
          <w:rFonts w:hint="eastAsia" w:ascii="方正小标宋简体" w:hAnsi="Times New Roman" w:eastAsia="方正小标宋简体" w:cs="Times New Roman"/>
          <w:b/>
          <w:bCs/>
          <w:color w:val="333333"/>
          <w:kern w:val="0"/>
          <w:sz w:val="44"/>
          <w:szCs w:val="44"/>
        </w:rPr>
        <w:t> </w:t>
      </w:r>
      <w:r>
        <w:rPr>
          <w:rFonts w:hint="eastAsia" w:ascii="MS Mincho" w:hAnsi="MS Mincho" w:eastAsia="MS Mincho" w:cs="MS Mincho"/>
          <w:b/>
          <w:bCs/>
          <w:color w:val="333333"/>
          <w:kern w:val="0"/>
          <w:sz w:val="44"/>
          <w:szCs w:val="44"/>
        </w:rPr>
        <w:t> </w:t>
      </w:r>
      <w:r>
        <w:rPr>
          <w:rFonts w:hint="eastAsia" w:ascii="方正小标宋简体" w:hAnsi="Times New Roman" w:eastAsia="方正小标宋简体" w:cs="Times New Roman"/>
          <w:b/>
          <w:bCs/>
          <w:color w:val="333333"/>
          <w:kern w:val="0"/>
          <w:sz w:val="44"/>
          <w:szCs w:val="44"/>
        </w:rPr>
        <w:t xml:space="preserve">   </w:t>
      </w:r>
      <w:r>
        <w:rPr>
          <w:rFonts w:hint="eastAsia" w:ascii="仿宋" w:hAnsi="仿宋" w:eastAsia="仿宋" w:cs="Times New Roman"/>
          <w:color w:val="333333"/>
          <w:kern w:val="0"/>
          <w:sz w:val="32"/>
          <w:szCs w:val="32"/>
        </w:rPr>
        <w:t>本报告依据《中华人民共和国政府信息公开条例》（国务院令第711号）和《淮南市人民政府办公室关于做好政府信息公开工作年度报告编制及统计数据报送工作的通知》要求，结合我局政府信息公开工作有关统计数据撰写。报告主要包括：总体情况、主动公开政府信息情况、收到和处理政府信息公开申请情况、政府信息公开行政复议及行政诉讼情况、存在的主要问题及改进情况和其他需要报告的事项。本年度报告中使用数据统计期限为</w:t>
      </w:r>
      <w:r>
        <w:rPr>
          <w:rFonts w:hint="eastAsia" w:ascii="仿宋" w:hAnsi="仿宋" w:eastAsia="仿宋" w:cs="仿宋"/>
          <w:color w:val="333333"/>
          <w:kern w:val="0"/>
          <w:sz w:val="32"/>
          <w:szCs w:val="32"/>
        </w:rPr>
        <w:t>2020</w:t>
      </w:r>
      <w:r>
        <w:rPr>
          <w:rFonts w:hint="eastAsia" w:ascii="仿宋" w:hAnsi="仿宋" w:eastAsia="仿宋" w:cs="Times New Roman"/>
          <w:color w:val="333333"/>
          <w:kern w:val="0"/>
          <w:sz w:val="32"/>
          <w:szCs w:val="32"/>
        </w:rPr>
        <w:t>年</w:t>
      </w:r>
      <w:r>
        <w:rPr>
          <w:rFonts w:hint="eastAsia" w:ascii="仿宋" w:hAnsi="仿宋" w:eastAsia="仿宋" w:cs="仿宋"/>
          <w:color w:val="333333"/>
          <w:kern w:val="0"/>
          <w:sz w:val="32"/>
          <w:szCs w:val="32"/>
        </w:rPr>
        <w:t>1</w:t>
      </w:r>
      <w:r>
        <w:rPr>
          <w:rFonts w:hint="eastAsia" w:ascii="仿宋" w:hAnsi="仿宋" w:eastAsia="仿宋" w:cs="Times New Roman"/>
          <w:color w:val="333333"/>
          <w:kern w:val="0"/>
          <w:sz w:val="32"/>
          <w:szCs w:val="32"/>
        </w:rPr>
        <w:t>月</w:t>
      </w:r>
      <w:r>
        <w:rPr>
          <w:rFonts w:hint="eastAsia" w:ascii="仿宋" w:hAnsi="仿宋" w:eastAsia="仿宋" w:cs="仿宋"/>
          <w:color w:val="333333"/>
          <w:kern w:val="0"/>
          <w:sz w:val="32"/>
          <w:szCs w:val="32"/>
        </w:rPr>
        <w:t>1</w:t>
      </w:r>
      <w:r>
        <w:rPr>
          <w:rFonts w:hint="eastAsia" w:ascii="仿宋" w:hAnsi="仿宋" w:eastAsia="仿宋" w:cs="Times New Roman"/>
          <w:color w:val="333333"/>
          <w:kern w:val="0"/>
          <w:sz w:val="32"/>
          <w:szCs w:val="32"/>
        </w:rPr>
        <w:t>日至</w:t>
      </w:r>
      <w:r>
        <w:rPr>
          <w:rFonts w:hint="eastAsia" w:ascii="仿宋" w:hAnsi="仿宋" w:eastAsia="仿宋" w:cs="仿宋"/>
          <w:color w:val="333333"/>
          <w:kern w:val="0"/>
          <w:sz w:val="32"/>
          <w:szCs w:val="32"/>
        </w:rPr>
        <w:t>12</w:t>
      </w:r>
      <w:r>
        <w:rPr>
          <w:rFonts w:hint="eastAsia" w:ascii="仿宋" w:hAnsi="仿宋" w:eastAsia="仿宋" w:cs="Times New Roman"/>
          <w:color w:val="333333"/>
          <w:kern w:val="0"/>
          <w:sz w:val="32"/>
          <w:szCs w:val="32"/>
        </w:rPr>
        <w:t>月 31日。报告的电子版可在淮南市人民政府网站下载（http://www.huainan.gov.cn/）。如对本报告有任何疑问，请与淮南市粮食和物资储备局办公室联系（地址：淮南市山南新区民裕东街89号，电话：0554-2683107，邮编：232000）。</w:t>
      </w:r>
    </w:p>
    <w:p>
      <w:pPr>
        <w:widowControl/>
        <w:shd w:val="clear" w:color="auto" w:fill="FFFFFF"/>
        <w:wordWrap w:val="0"/>
        <w:spacing w:line="660" w:lineRule="atLeast"/>
        <w:ind w:firstLine="643"/>
        <w:rPr>
          <w:rFonts w:ascii="Times New Roman" w:hAnsi="Times New Roman" w:eastAsia="微软雅黑" w:cs="Times New Roman"/>
          <w:color w:val="333333"/>
          <w:kern w:val="0"/>
          <w:szCs w:val="21"/>
        </w:rPr>
      </w:pPr>
      <w:r>
        <w:rPr>
          <w:rFonts w:hint="eastAsia" w:ascii="黑体" w:hAnsi="黑体" w:eastAsia="黑体" w:cs="Times New Roman"/>
          <w:b/>
          <w:bCs/>
          <w:color w:val="333333"/>
          <w:kern w:val="0"/>
          <w:sz w:val="32"/>
          <w:szCs w:val="32"/>
        </w:rPr>
        <w:t>一、总体情况</w:t>
      </w:r>
    </w:p>
    <w:p>
      <w:pPr>
        <w:widowControl/>
        <w:shd w:val="clear" w:color="auto" w:fill="FFFFFF"/>
        <w:wordWrap w:val="0"/>
        <w:spacing w:line="660" w:lineRule="atLeast"/>
        <w:ind w:firstLine="630"/>
        <w:rPr>
          <w:rFonts w:ascii="Times New Roman" w:hAnsi="Times New Roman" w:eastAsia="微软雅黑" w:cs="Times New Roman"/>
          <w:color w:val="333333"/>
          <w:kern w:val="0"/>
          <w:sz w:val="24"/>
          <w:szCs w:val="24"/>
        </w:rPr>
      </w:pPr>
      <w:r>
        <w:rPr>
          <w:rFonts w:hint="eastAsia" w:ascii="楷体" w:hAnsi="楷体" w:eastAsia="楷体" w:cs="Times New Roman"/>
          <w:b/>
          <w:bCs/>
          <w:color w:val="333333"/>
          <w:kern w:val="0"/>
          <w:sz w:val="32"/>
          <w:szCs w:val="32"/>
        </w:rPr>
        <w:t>（一）全力做好主动公开工作。</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按照《淮南市政府办公室关于印发2020年政务公开重点工作任务分工的通知》（淮府办秘〔2020〕79号）内容，我局围绕重点、难点、热点、焦点和疑点问题，进一步加大公开力度，制定了《淮南市粮食和物资储备局2020年政务公开工作要点及分工》，以政务公开工作助力全市粮食和物资储备工作的发展。</w:t>
      </w:r>
    </w:p>
    <w:p>
      <w:pPr>
        <w:widowControl/>
        <w:shd w:val="clear" w:color="auto" w:fill="FFFFFF"/>
        <w:wordWrap w:val="0"/>
        <w:spacing w:line="660" w:lineRule="atLeast"/>
        <w:ind w:firstLine="643"/>
        <w:rPr>
          <w:rFonts w:ascii="Times New Roman" w:hAnsi="Times New Roman" w:eastAsia="微软雅黑" w:cs="Times New Roman"/>
          <w:color w:val="333333"/>
          <w:kern w:val="0"/>
          <w:szCs w:val="21"/>
        </w:rPr>
      </w:pPr>
      <w:r>
        <w:rPr>
          <w:rFonts w:hint="eastAsia" w:ascii="仿宋" w:hAnsi="仿宋" w:eastAsia="仿宋" w:cs="Times New Roman"/>
          <w:b/>
          <w:bCs/>
          <w:color w:val="333333"/>
          <w:kern w:val="0"/>
          <w:sz w:val="32"/>
          <w:szCs w:val="32"/>
        </w:rPr>
        <w:t>一是加强政务公开栏管理。</w:t>
      </w:r>
      <w:r>
        <w:rPr>
          <w:rFonts w:hint="eastAsia" w:ascii="仿宋" w:hAnsi="仿宋" w:eastAsia="仿宋" w:cs="Times New Roman"/>
          <w:color w:val="333333"/>
          <w:kern w:val="0"/>
          <w:sz w:val="32"/>
          <w:szCs w:val="32"/>
        </w:rPr>
        <w:t>在局办公场所显要位置设置政务公开栏，公开内容涵盖了办公场所示意图、本局主要职责、领导分工、机构设置及各科室工作职责、办事程序、办事期限、行政执法依据、行政管理纪律、处理和处罚种类、行政复议申请和投诉举报受理办法等，进一步推进行政权力运行程序化和公开透明。</w:t>
      </w:r>
    </w:p>
    <w:p>
      <w:pPr>
        <w:widowControl/>
        <w:shd w:val="clear" w:color="auto" w:fill="FFFFFF"/>
        <w:wordWrap w:val="0"/>
        <w:spacing w:line="660" w:lineRule="atLeast"/>
        <w:ind w:firstLine="643"/>
        <w:rPr>
          <w:rFonts w:ascii="Times New Roman" w:hAnsi="Times New Roman" w:eastAsia="微软雅黑" w:cs="Times New Roman"/>
          <w:color w:val="333333"/>
          <w:kern w:val="0"/>
          <w:szCs w:val="21"/>
        </w:rPr>
      </w:pPr>
      <w:r>
        <w:rPr>
          <w:rFonts w:hint="eastAsia" w:ascii="仿宋" w:hAnsi="仿宋" w:eastAsia="仿宋" w:cs="Times New Roman"/>
          <w:b/>
          <w:bCs/>
          <w:color w:val="333333"/>
          <w:kern w:val="0"/>
          <w:sz w:val="32"/>
          <w:szCs w:val="32"/>
        </w:rPr>
        <w:t>二是加强局网站维护更新工作。</w:t>
      </w:r>
      <w:r>
        <w:rPr>
          <w:rFonts w:hint="eastAsia" w:ascii="仿宋" w:hAnsi="仿宋" w:eastAsia="仿宋" w:cs="Times New Roman"/>
          <w:color w:val="333333"/>
          <w:kern w:val="0"/>
          <w:sz w:val="32"/>
          <w:szCs w:val="32"/>
        </w:rPr>
        <w:t>进一步完善网站服务功能，丰富公开内容，开设了政务公开、粮油要闻、政策法规、粮油行情和局长信箱等栏目，局网管员实时在线，及时更新内容，2020年发布各类信息共计483条，较全面地反映了全市粮食和物资储备系统工作动态，目前网站点击量已突破50万人次。</w:t>
      </w:r>
    </w:p>
    <w:p>
      <w:pPr>
        <w:widowControl/>
        <w:shd w:val="clear" w:color="auto" w:fill="FFFFFF"/>
        <w:wordWrap w:val="0"/>
        <w:spacing w:line="660" w:lineRule="atLeast"/>
        <w:ind w:firstLine="643"/>
        <w:rPr>
          <w:rFonts w:ascii="Times New Roman" w:hAnsi="Times New Roman" w:eastAsia="微软雅黑" w:cs="Times New Roman"/>
          <w:color w:val="333333"/>
          <w:kern w:val="0"/>
          <w:szCs w:val="21"/>
        </w:rPr>
      </w:pPr>
      <w:r>
        <w:rPr>
          <w:rFonts w:hint="eastAsia" w:ascii="仿宋" w:hAnsi="仿宋" w:eastAsia="仿宋" w:cs="Times New Roman"/>
          <w:b/>
          <w:bCs/>
          <w:color w:val="333333"/>
          <w:kern w:val="0"/>
          <w:sz w:val="32"/>
          <w:szCs w:val="32"/>
        </w:rPr>
        <w:t>三是做好市政府信息公开系统信息发布工作。</w:t>
      </w:r>
      <w:r>
        <w:rPr>
          <w:rFonts w:hint="eastAsia" w:ascii="仿宋" w:hAnsi="仿宋" w:eastAsia="仿宋" w:cs="Times New Roman"/>
          <w:color w:val="333333"/>
          <w:kern w:val="0"/>
          <w:sz w:val="32"/>
          <w:szCs w:val="32"/>
        </w:rPr>
        <w:t>2020年我局切实贯彻落实省市关于</w:t>
      </w:r>
      <w:r>
        <w:rPr>
          <w:rFonts w:hint="eastAsia" w:ascii="宋体" w:hAnsi="宋体" w:eastAsia="宋体" w:cs="Times New Roman"/>
          <w:color w:val="333333"/>
          <w:kern w:val="0"/>
          <w:sz w:val="32"/>
          <w:szCs w:val="32"/>
        </w:rPr>
        <w:t>“</w:t>
      </w:r>
      <w:r>
        <w:rPr>
          <w:rFonts w:hint="eastAsia" w:ascii="仿宋" w:hAnsi="仿宋" w:eastAsia="仿宋" w:cs="Times New Roman"/>
          <w:color w:val="333333"/>
          <w:kern w:val="0"/>
          <w:sz w:val="32"/>
          <w:szCs w:val="32"/>
        </w:rPr>
        <w:t>放管服</w:t>
      </w:r>
      <w:r>
        <w:rPr>
          <w:rFonts w:hint="eastAsia" w:ascii="宋体" w:hAnsi="宋体" w:eastAsia="宋体" w:cs="Times New Roman"/>
          <w:color w:val="333333"/>
          <w:kern w:val="0"/>
          <w:sz w:val="32"/>
          <w:szCs w:val="32"/>
        </w:rPr>
        <w:t>”</w:t>
      </w:r>
      <w:r>
        <w:rPr>
          <w:rFonts w:hint="eastAsia" w:ascii="仿宋" w:hAnsi="仿宋" w:eastAsia="仿宋" w:cs="Times New Roman"/>
          <w:color w:val="333333"/>
          <w:kern w:val="0"/>
          <w:sz w:val="32"/>
          <w:szCs w:val="32"/>
        </w:rPr>
        <w:t>改革优化营商环境的决策部署，提高政务服务透明度便利度，全面优化精简办事流程，通过互联网等手段最大限度实现网络化、透明化办事，为市场主体提供更加精准、便捷的政策咨询，及时更新公开办事方式、办事条件和办事结果等政务信息，截至目前我局在市政府信息公开系统发布各类政务信息共计652条，信息发布依法做到及时、准确、公开、透明。</w:t>
      </w:r>
    </w:p>
    <w:p>
      <w:pPr>
        <w:widowControl/>
        <w:shd w:val="clear" w:color="auto" w:fill="FFFFFF"/>
        <w:wordWrap w:val="0"/>
        <w:spacing w:line="660" w:lineRule="atLeast"/>
        <w:ind w:firstLine="630"/>
        <w:rPr>
          <w:rFonts w:ascii="Times New Roman" w:hAnsi="Times New Roman" w:eastAsia="微软雅黑" w:cs="Times New Roman"/>
          <w:color w:val="333333"/>
          <w:kern w:val="0"/>
          <w:sz w:val="24"/>
          <w:szCs w:val="24"/>
        </w:rPr>
      </w:pPr>
      <w:r>
        <w:rPr>
          <w:rFonts w:hint="eastAsia" w:ascii="楷体" w:hAnsi="楷体" w:eastAsia="楷体" w:cs="Times New Roman"/>
          <w:color w:val="333333"/>
          <w:kern w:val="0"/>
          <w:sz w:val="32"/>
          <w:szCs w:val="32"/>
        </w:rPr>
        <w:t>（</w:t>
      </w:r>
      <w:r>
        <w:rPr>
          <w:rFonts w:hint="eastAsia" w:ascii="楷体" w:hAnsi="楷体" w:eastAsia="楷体" w:cs="Times New Roman"/>
          <w:b/>
          <w:bCs/>
          <w:color w:val="333333"/>
          <w:kern w:val="0"/>
          <w:sz w:val="32"/>
          <w:szCs w:val="32"/>
        </w:rPr>
        <w:t>二）切实加强依申请公开工作。</w:t>
      </w:r>
    </w:p>
    <w:p>
      <w:pPr>
        <w:widowControl/>
        <w:shd w:val="clear" w:color="auto" w:fill="FFFFFF"/>
        <w:wordWrap w:val="0"/>
        <w:spacing w:line="660" w:lineRule="atLeast"/>
        <w:ind w:firstLine="800"/>
        <w:rPr>
          <w:rFonts w:ascii="Times New Roman" w:hAnsi="Times New Roman" w:eastAsia="微软雅黑" w:cs="Times New Roman"/>
          <w:color w:val="333333"/>
          <w:kern w:val="0"/>
          <w:sz w:val="24"/>
          <w:szCs w:val="24"/>
        </w:rPr>
      </w:pPr>
      <w:r>
        <w:rPr>
          <w:rFonts w:hint="eastAsia" w:ascii="仿宋" w:hAnsi="仿宋" w:eastAsia="仿宋" w:cs="Times New Roman"/>
          <w:color w:val="333333"/>
          <w:kern w:val="0"/>
          <w:sz w:val="32"/>
          <w:szCs w:val="32"/>
        </w:rPr>
        <w:t>2020年我局继续加强依申请公开工作，完善了依申请公开流程，明确局办公室为受理政府信息公开申请的责任科室，制定了依申请公开制度，对依申请公开政府信息工作的程序、申请方式、答复方式和答复时限等都做了详细规定，并在本局网站和淮南市政府信息公开网提供了信息公开申请表的下载，确保申请渠道畅通。公民、法人和其他组织要求我局主动公开的政府信息，可以采取当面、书面申请或通过互联网、信函、传真等途径向市粮食和物资储备局政务公开办公室或局门户网站申请。局政务公开办公室收到申请后，及时登记，除可以当场予以答复的外，规定在登记之日起20个工作日内进行实质性审查，确定是否属于公开的范围，并根据掌握该信息的实际状态向申请人或社会公开。</w:t>
      </w:r>
    </w:p>
    <w:p>
      <w:pPr>
        <w:widowControl/>
        <w:shd w:val="clear" w:color="auto" w:fill="FFFFFF"/>
        <w:wordWrap w:val="0"/>
        <w:spacing w:line="660" w:lineRule="atLeast"/>
        <w:ind w:firstLine="640"/>
        <w:rPr>
          <w:rFonts w:ascii="Times New Roman" w:hAnsi="Times New Roman" w:eastAsia="微软雅黑" w:cs="Times New Roman"/>
          <w:color w:val="333333"/>
          <w:kern w:val="0"/>
          <w:sz w:val="24"/>
          <w:szCs w:val="24"/>
        </w:rPr>
      </w:pPr>
      <w:r>
        <w:rPr>
          <w:rFonts w:hint="eastAsia" w:ascii="仿宋" w:hAnsi="仿宋" w:eastAsia="仿宋" w:cs="Times New Roman"/>
          <w:color w:val="333333"/>
          <w:kern w:val="0"/>
          <w:sz w:val="32"/>
          <w:szCs w:val="32"/>
        </w:rPr>
        <w:t>今年我局未收到依申请公开信息，没有行政处罚和行政复议等情况。</w:t>
      </w:r>
    </w:p>
    <w:p>
      <w:pPr>
        <w:widowControl/>
        <w:shd w:val="clear" w:color="auto" w:fill="FFFFFF"/>
        <w:wordWrap w:val="0"/>
        <w:spacing w:line="660" w:lineRule="atLeast"/>
        <w:ind w:firstLine="640"/>
        <w:rPr>
          <w:rFonts w:ascii="Times New Roman" w:hAnsi="Times New Roman" w:eastAsia="微软雅黑" w:cs="Times New Roman"/>
          <w:color w:val="333333"/>
          <w:kern w:val="0"/>
          <w:sz w:val="24"/>
          <w:szCs w:val="24"/>
        </w:rPr>
      </w:pPr>
      <w:r>
        <w:rPr>
          <w:rFonts w:hint="eastAsia" w:ascii="仿宋" w:hAnsi="仿宋" w:eastAsia="仿宋" w:cs="Times New Roman"/>
          <w:b/>
          <w:bCs/>
          <w:color w:val="333333"/>
          <w:kern w:val="0"/>
          <w:sz w:val="32"/>
          <w:szCs w:val="32"/>
        </w:rPr>
        <w:t>（三）</w:t>
      </w:r>
      <w:r>
        <w:rPr>
          <w:rFonts w:hint="eastAsia" w:ascii="楷体" w:hAnsi="楷体" w:eastAsia="楷体" w:cs="Times New Roman"/>
          <w:b/>
          <w:bCs/>
          <w:color w:val="333333"/>
          <w:kern w:val="0"/>
          <w:sz w:val="32"/>
          <w:szCs w:val="32"/>
        </w:rPr>
        <w:t>努力做好政务信息管理。</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宋体" w:hAnsi="宋体" w:eastAsia="宋体" w:cs="宋体"/>
          <w:color w:val="333333"/>
          <w:kern w:val="0"/>
          <w:sz w:val="32"/>
          <w:szCs w:val="32"/>
        </w:rPr>
        <w:t> </w:t>
      </w:r>
      <w:r>
        <w:rPr>
          <w:rFonts w:hint="eastAsia" w:ascii="仿宋" w:hAnsi="仿宋" w:eastAsia="仿宋" w:cs="仿宋"/>
          <w:color w:val="333333"/>
          <w:kern w:val="0"/>
          <w:sz w:val="32"/>
          <w:szCs w:val="32"/>
        </w:rPr>
        <w:t>2020</w:t>
      </w:r>
      <w:r>
        <w:rPr>
          <w:rFonts w:hint="eastAsia" w:ascii="仿宋" w:hAnsi="仿宋" w:eastAsia="仿宋" w:cs="Times New Roman"/>
          <w:color w:val="333333"/>
          <w:kern w:val="0"/>
          <w:sz w:val="32"/>
          <w:szCs w:val="32"/>
        </w:rPr>
        <w:t>年，我局努力做好政府信息管理工作，建立健全各项工作制度，完善工作机制。修订了《淮南市粮食物资储备局政务信息公开保密审查制度》；制定了《淮南市粮食物资储备局网络安全保密管理规定》；年初印发了《淮南市粮食和物资储备局工作微信群、QQ群管理规定》，实行网上信息发布“三审”制度，严格落实“两个所有”，规范网上信息发布传播秩序，推动依法管网、依法办网、依法上网，确保政务信息安全。今年我局切实加强局网站、市政府政务信息公开网站等网络平台重要节点和敏感时期的舆论监管，加强互动回应，搜集研判相关信息，开展舆论引导，收到了良好的社会效益，荣获“2019年度向市委报送信息工作先进单位”，局信息员被评为“2019年度向市委报送信息工作先进个人”。</w:t>
      </w:r>
    </w:p>
    <w:p>
      <w:pPr>
        <w:widowControl/>
        <w:shd w:val="clear" w:color="auto" w:fill="FFFFFF"/>
        <w:wordWrap w:val="0"/>
        <w:spacing w:line="660" w:lineRule="atLeast"/>
        <w:ind w:firstLine="643"/>
        <w:rPr>
          <w:rFonts w:ascii="Times New Roman" w:hAnsi="Times New Roman" w:eastAsia="微软雅黑" w:cs="Times New Roman"/>
          <w:color w:val="333333"/>
          <w:kern w:val="0"/>
          <w:sz w:val="24"/>
          <w:szCs w:val="24"/>
        </w:rPr>
      </w:pPr>
      <w:r>
        <w:rPr>
          <w:rFonts w:hint="eastAsia" w:ascii="楷体" w:hAnsi="楷体" w:eastAsia="楷体" w:cs="Times New Roman"/>
          <w:b/>
          <w:bCs/>
          <w:color w:val="333333"/>
          <w:kern w:val="0"/>
          <w:sz w:val="32"/>
          <w:szCs w:val="32"/>
        </w:rPr>
        <w:t>（四）加强政务公开平台建设。</w:t>
      </w:r>
    </w:p>
    <w:p>
      <w:pPr>
        <w:widowControl/>
        <w:shd w:val="clear" w:color="auto" w:fill="FFFFFF"/>
        <w:wordWrap w:val="0"/>
        <w:spacing w:line="660" w:lineRule="atLeast"/>
        <w:ind w:firstLine="627"/>
        <w:rPr>
          <w:rFonts w:ascii="Times New Roman" w:hAnsi="Times New Roman" w:eastAsia="微软雅黑" w:cs="Times New Roman"/>
          <w:color w:val="333333"/>
          <w:kern w:val="0"/>
          <w:sz w:val="24"/>
          <w:szCs w:val="24"/>
        </w:rPr>
      </w:pPr>
      <w:r>
        <w:rPr>
          <w:rFonts w:hint="eastAsia" w:ascii="仿宋" w:hAnsi="仿宋" w:eastAsia="仿宋" w:cs="Times New Roman"/>
          <w:color w:val="333333"/>
          <w:kern w:val="0"/>
          <w:sz w:val="32"/>
          <w:szCs w:val="32"/>
        </w:rPr>
        <w:t>按照《国务院办公厅政府信息与政务公开办公室关于规范政府信息公开平台有关事项的通知》（国办公开办函〔2019〕61号）有关要求，我局高度重视政务公开平台建设，继续做好淮南市政府信息公开网（</w:t>
      </w:r>
      <w:r>
        <w:fldChar w:fldCharType="begin"/>
      </w:r>
      <w:r>
        <w:instrText xml:space="preserve"> HYPERLINK </w:instrText>
      </w:r>
      <w:r>
        <w:fldChar w:fldCharType="separate"/>
      </w:r>
      <w:r>
        <w:rPr>
          <w:rFonts w:hint="eastAsia" w:ascii="仿宋" w:hAnsi="仿宋" w:eastAsia="仿宋" w:cs="Times New Roman"/>
          <w:kern w:val="0"/>
          <w:sz w:val="32"/>
        </w:rPr>
        <w:t>http://www.huainan.gov.cn）的信息更新工作，按照市政府的统一要求</w:t>
      </w:r>
      <w:r>
        <w:rPr>
          <w:rFonts w:hint="eastAsia" w:ascii="仿宋" w:hAnsi="仿宋" w:eastAsia="仿宋" w:cs="Times New Roman"/>
          <w:kern w:val="0"/>
          <w:sz w:val="32"/>
        </w:rPr>
        <w:fldChar w:fldCharType="end"/>
      </w:r>
      <w:r>
        <w:rPr>
          <w:rFonts w:hint="eastAsia" w:ascii="仿宋" w:hAnsi="仿宋" w:eastAsia="仿宋" w:cs="Times New Roman"/>
          <w:color w:val="333333"/>
          <w:kern w:val="0"/>
          <w:sz w:val="32"/>
          <w:szCs w:val="32"/>
        </w:rPr>
        <w:t>， 基本建立了内容全面、分类合理、层级清晰、易于检索的市粮食和物资储备局政府信息公开系统，并及时上网发布我局政务信息，力求法定公开内容全部公开到位；其次，切实加强我局网站（http://lswz.huainan.gov.cn）的维护管理工作，强化网站服务功能，及时更新维护，突出我局的工作特点，反映全市粮食和物资储备系统工作动态；另外，强化“淮南12345统一管理平台”（市长热线）的反馈工作，加强网络信息采集和分析，实时反馈，2020年回复各类咨询21条，反馈率100%。</w:t>
      </w:r>
    </w:p>
    <w:p>
      <w:pPr>
        <w:widowControl/>
        <w:shd w:val="clear" w:color="auto" w:fill="FFFFFF"/>
        <w:wordWrap w:val="0"/>
        <w:spacing w:line="660" w:lineRule="atLeast"/>
        <w:ind w:firstLine="640"/>
        <w:rPr>
          <w:rFonts w:ascii="Times New Roman" w:hAnsi="Times New Roman" w:eastAsia="微软雅黑" w:cs="Times New Roman"/>
          <w:color w:val="333333"/>
          <w:kern w:val="0"/>
          <w:sz w:val="24"/>
          <w:szCs w:val="24"/>
        </w:rPr>
      </w:pPr>
      <w:r>
        <w:rPr>
          <w:rFonts w:hint="eastAsia" w:ascii="楷体" w:hAnsi="楷体" w:eastAsia="楷体" w:cs="Times New Roman"/>
          <w:b/>
          <w:bCs/>
          <w:color w:val="333333"/>
          <w:kern w:val="0"/>
          <w:sz w:val="32"/>
          <w:szCs w:val="32"/>
        </w:rPr>
        <w:t>（五）强化队伍建设，完善保障监督机制。</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为切实加强政务公开工作的领导，我局进一步完善工作机构，成立了以局长为组长、分管副局长为副组长、各科室负责人为成员的市粮食和物资储备局政务公开工作领导小组，领导小组下设办公室，明确专人负责日常工作。同时，对局属单位也要求成立相应的组织机构，逐步完善全系统政务公开工作机制。为提高工作水平，我局切实强化培训工作，把《中华人民共和国政府信息公开条例》《安徽省政府信息公开实施办法》等规章制度作为落实领导干部学法制度的重要内容，局政务公开工作领导小组办公室不定期召开专题会议，以会代训，学训结合，针对性、系统性地做好培训工作，稳步提升工作人员的工作意识和业务水平。</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仿宋" w:hAnsi="仿宋" w:eastAsia="仿宋" w:cs="Times New Roman"/>
          <w:color w:val="333333"/>
          <w:kern w:val="0"/>
          <w:sz w:val="32"/>
          <w:szCs w:val="32"/>
        </w:rPr>
        <w:t>2020年我局继续把政务公开工作纳入单位重要议事日程和年度绩效考核体系，在抓好内部制约机制的同时，进一步完善外部监督制约机制，形成用制度规范行为、按制度办事、靠制度管人的机制，建立健全并严格落实《淮南市粮食和物资储备局政府信息公开责任追究制度》《淮南市粮食和物资储备局政务信息公开社会评议制度》《淮南市粮食和物资储备局政务公开投诉举报制度》和《淮南市粮食和物资储备局政务公开监督员制度》等规章制度，严把公开内容，既防止该公开的不公开，搞半公开、假公开，又防止不该公开的乱公开，切实保障人民群众的知情权、参与权、表达权和监督权，不断增强政务公开社会监督力度，提升我局政务公开工作服务水平。</w:t>
      </w:r>
    </w:p>
    <w:p>
      <w:pPr>
        <w:widowControl/>
        <w:shd w:val="clear" w:color="auto" w:fill="FFFFFF"/>
        <w:wordWrap w:val="0"/>
        <w:spacing w:line="680" w:lineRule="atLeast"/>
        <w:ind w:firstLine="643"/>
        <w:rPr>
          <w:rFonts w:ascii="Times New Roman" w:hAnsi="Times New Roman" w:eastAsia="微软雅黑" w:cs="Times New Roman"/>
          <w:color w:val="333333"/>
          <w:kern w:val="0"/>
          <w:szCs w:val="21"/>
        </w:rPr>
      </w:pPr>
      <w:r>
        <w:rPr>
          <w:rFonts w:hint="eastAsia" w:ascii="黑体" w:hAnsi="黑体" w:eastAsia="黑体" w:cs="Times New Roman"/>
          <w:b/>
          <w:bCs/>
          <w:color w:val="333333"/>
          <w:kern w:val="0"/>
          <w:sz w:val="32"/>
          <w:szCs w:val="32"/>
        </w:rPr>
        <w:t>二、主动公开政府信息情况</w:t>
      </w:r>
    </w:p>
    <w:tbl>
      <w:tblPr>
        <w:tblStyle w:val="4"/>
        <w:tblW w:w="8363" w:type="dxa"/>
        <w:tblInd w:w="959" w:type="dxa"/>
        <w:tblLayout w:type="autofit"/>
        <w:tblCellMar>
          <w:top w:w="0" w:type="dxa"/>
          <w:left w:w="0" w:type="dxa"/>
          <w:bottom w:w="0" w:type="dxa"/>
          <w:right w:w="0" w:type="dxa"/>
        </w:tblCellMar>
      </w:tblPr>
      <w:tblGrid>
        <w:gridCol w:w="2906"/>
        <w:gridCol w:w="2369"/>
        <w:gridCol w:w="1533"/>
        <w:gridCol w:w="1555"/>
      </w:tblGrid>
      <w:tr>
        <w:tblPrEx>
          <w:tblCellMar>
            <w:top w:w="0" w:type="dxa"/>
            <w:left w:w="0" w:type="dxa"/>
            <w:bottom w:w="0" w:type="dxa"/>
            <w:right w:w="0" w:type="dxa"/>
          </w:tblCellMar>
        </w:tblPrEx>
        <w:trPr>
          <w:trHeight w:val="495" w:hRule="atLeast"/>
        </w:trPr>
        <w:tc>
          <w:tcPr>
            <w:tcW w:w="836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第二十条第（一）项</w:t>
            </w:r>
          </w:p>
        </w:tc>
      </w:tr>
      <w:tr>
        <w:tblPrEx>
          <w:tblCellMar>
            <w:top w:w="0" w:type="dxa"/>
            <w:left w:w="0" w:type="dxa"/>
            <w:bottom w:w="0" w:type="dxa"/>
            <w:right w:w="0" w:type="dxa"/>
          </w:tblCellMar>
        </w:tblPrEx>
        <w:trPr>
          <w:trHeight w:val="882"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本年新</w:t>
            </w:r>
            <w:r>
              <w:rPr>
                <w:rFonts w:hint="eastAsia" w:ascii="仿宋" w:hAnsi="仿宋" w:eastAsia="仿宋" w:cs="Times New Roman"/>
                <w:kern w:val="0"/>
                <w:sz w:val="32"/>
                <w:szCs w:val="32"/>
              </w:rPr>
              <w:br w:type="textWrapping"/>
            </w:r>
            <w:r>
              <w:rPr>
                <w:rFonts w:hint="eastAsia" w:ascii="仿宋" w:hAnsi="仿宋" w:eastAsia="仿宋" w:cs="Times New Roman"/>
                <w:kern w:val="0"/>
                <w:sz w:val="32"/>
                <w:szCs w:val="32"/>
              </w:rPr>
              <w:t>制作数量</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本年新</w:t>
            </w:r>
            <w:r>
              <w:rPr>
                <w:rFonts w:hint="eastAsia" w:ascii="仿宋" w:hAnsi="仿宋" w:eastAsia="仿宋" w:cs="Times New Roman"/>
                <w:kern w:val="0"/>
                <w:sz w:val="32"/>
                <w:szCs w:val="32"/>
              </w:rPr>
              <w:br w:type="textWrapping"/>
            </w:r>
            <w:r>
              <w:rPr>
                <w:rFonts w:hint="eastAsia" w:ascii="仿宋" w:hAnsi="仿宋" w:eastAsia="仿宋" w:cs="Times New Roman"/>
                <w:kern w:val="0"/>
                <w:sz w:val="32"/>
                <w:szCs w:val="32"/>
              </w:rPr>
              <w:t>公开数量</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对外公开总数量</w:t>
            </w:r>
          </w:p>
        </w:tc>
      </w:tr>
      <w:tr>
        <w:tblPrEx>
          <w:tblCellMar>
            <w:top w:w="0" w:type="dxa"/>
            <w:left w:w="0" w:type="dxa"/>
            <w:bottom w:w="0" w:type="dxa"/>
            <w:right w:w="0" w:type="dxa"/>
          </w:tblCellMar>
        </w:tblPrEx>
        <w:trPr>
          <w:trHeight w:val="523"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规章</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rPr>
          <w:trHeight w:val="471"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规范性文件</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3</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3</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hint="default" w:ascii="宋体" w:hAnsi="宋体" w:eastAsia="宋体" w:cs="宋体"/>
                <w:kern w:val="0"/>
                <w:sz w:val="24"/>
                <w:szCs w:val="24"/>
                <w:lang w:val="en-US" w:eastAsia="zh-CN"/>
              </w:rPr>
            </w:pPr>
            <w:r>
              <w:rPr>
                <w:rFonts w:hint="eastAsia" w:ascii="仿宋" w:hAnsi="仿宋" w:eastAsia="仿宋" w:cs="宋体"/>
                <w:kern w:val="0"/>
                <w:sz w:val="32"/>
                <w:szCs w:val="32"/>
                <w:lang w:val="en-US" w:eastAsia="zh-CN"/>
              </w:rPr>
              <w:t>18</w:t>
            </w:r>
            <w:bookmarkStart w:id="0" w:name="_GoBack"/>
            <w:bookmarkEnd w:id="0"/>
          </w:p>
        </w:tc>
      </w:tr>
      <w:tr>
        <w:tblPrEx>
          <w:tblCellMar>
            <w:top w:w="0" w:type="dxa"/>
            <w:left w:w="0" w:type="dxa"/>
            <w:bottom w:w="0" w:type="dxa"/>
            <w:right w:w="0" w:type="dxa"/>
          </w:tblCellMar>
        </w:tblPrEx>
        <w:trPr>
          <w:trHeight w:val="480" w:hRule="atLeast"/>
        </w:trPr>
        <w:tc>
          <w:tcPr>
            <w:tcW w:w="836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第二十条第（五）项</w:t>
            </w:r>
          </w:p>
        </w:tc>
      </w:tr>
      <w:tr>
        <w:tblPrEx>
          <w:tblCellMar>
            <w:top w:w="0" w:type="dxa"/>
            <w:left w:w="0" w:type="dxa"/>
            <w:bottom w:w="0" w:type="dxa"/>
            <w:right w:w="0" w:type="dxa"/>
          </w:tblCellMar>
        </w:tblPrEx>
        <w:trPr>
          <w:trHeight w:val="634"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上一年项目</w:t>
            </w:r>
          </w:p>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数量</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本年增/减</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处理决定数量</w:t>
            </w:r>
          </w:p>
        </w:tc>
      </w:tr>
      <w:tr>
        <w:tblPrEx>
          <w:tblCellMar>
            <w:top w:w="0" w:type="dxa"/>
            <w:left w:w="0" w:type="dxa"/>
            <w:bottom w:w="0" w:type="dxa"/>
            <w:right w:w="0" w:type="dxa"/>
          </w:tblCellMar>
        </w:tblPrEx>
        <w:trPr>
          <w:trHeight w:val="528" w:hRule="atLeast"/>
        </w:trPr>
        <w:tc>
          <w:tcPr>
            <w:tcW w:w="2906" w:type="dxa"/>
            <w:tcBorders>
              <w:top w:val="nil"/>
              <w:left w:val="single" w:color="auto" w:sz="8" w:space="0"/>
              <w:bottom w:val="single" w:color="auto" w:sz="8" w:space="0"/>
              <w:right w:val="single" w:color="auto" w:sz="8" w:space="0"/>
            </w:tcBorders>
            <w:noWrap/>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行政许可</w:t>
            </w:r>
          </w:p>
        </w:tc>
        <w:tc>
          <w:tcPr>
            <w:tcW w:w="2369" w:type="dxa"/>
            <w:tcBorders>
              <w:top w:val="nil"/>
              <w:left w:val="nil"/>
              <w:bottom w:val="single" w:color="auto" w:sz="8" w:space="0"/>
              <w:right w:val="single" w:color="auto" w:sz="8" w:space="0"/>
            </w:tcBorders>
            <w:noWrap/>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4</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4</w:t>
            </w:r>
          </w:p>
        </w:tc>
      </w:tr>
      <w:tr>
        <w:tblPrEx>
          <w:tblCellMar>
            <w:top w:w="0" w:type="dxa"/>
            <w:left w:w="0" w:type="dxa"/>
            <w:bottom w:w="0" w:type="dxa"/>
            <w:right w:w="0" w:type="dxa"/>
          </w:tblCellMar>
        </w:tblPrEx>
        <w:trPr>
          <w:trHeight w:val="550" w:hRule="atLeast"/>
        </w:trPr>
        <w:tc>
          <w:tcPr>
            <w:tcW w:w="2906" w:type="dxa"/>
            <w:tcBorders>
              <w:top w:val="nil"/>
              <w:left w:val="single" w:color="auto" w:sz="8" w:space="0"/>
              <w:bottom w:val="single" w:color="auto" w:sz="8" w:space="0"/>
              <w:right w:val="single" w:color="auto" w:sz="8" w:space="0"/>
            </w:tcBorders>
            <w:noWrap/>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其他对外管理服务事项（除行政许可外的其他行政权力）</w:t>
            </w:r>
          </w:p>
        </w:tc>
        <w:tc>
          <w:tcPr>
            <w:tcW w:w="2369" w:type="dxa"/>
            <w:tcBorders>
              <w:top w:val="nil"/>
              <w:left w:val="nil"/>
              <w:bottom w:val="single" w:color="auto" w:sz="8" w:space="0"/>
              <w:right w:val="single" w:color="auto" w:sz="8" w:space="0"/>
            </w:tcBorders>
            <w:noWrap/>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rPr>
          <w:trHeight w:val="406" w:hRule="atLeast"/>
        </w:trPr>
        <w:tc>
          <w:tcPr>
            <w:tcW w:w="836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第二十条第（六）项</w:t>
            </w:r>
          </w:p>
        </w:tc>
      </w:tr>
      <w:tr>
        <w:tblPrEx>
          <w:tblCellMar>
            <w:top w:w="0" w:type="dxa"/>
            <w:left w:w="0" w:type="dxa"/>
            <w:bottom w:w="0" w:type="dxa"/>
            <w:right w:w="0" w:type="dxa"/>
          </w:tblCellMar>
        </w:tblPrEx>
        <w:trPr>
          <w:trHeight w:val="634"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上一年项目</w:t>
            </w:r>
          </w:p>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数量</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本年增/减</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处理决定数量</w:t>
            </w:r>
          </w:p>
        </w:tc>
      </w:tr>
      <w:tr>
        <w:tblPrEx>
          <w:tblCellMar>
            <w:top w:w="0" w:type="dxa"/>
            <w:left w:w="0" w:type="dxa"/>
            <w:bottom w:w="0" w:type="dxa"/>
            <w:right w:w="0" w:type="dxa"/>
          </w:tblCellMar>
        </w:tblPrEx>
        <w:trPr>
          <w:trHeight w:val="430" w:hRule="atLeast"/>
        </w:trPr>
        <w:tc>
          <w:tcPr>
            <w:tcW w:w="2906" w:type="dxa"/>
            <w:tcBorders>
              <w:top w:val="nil"/>
              <w:left w:val="single" w:color="auto" w:sz="8" w:space="0"/>
              <w:bottom w:val="single" w:color="auto" w:sz="8" w:space="0"/>
              <w:right w:val="single" w:color="auto" w:sz="8" w:space="0"/>
            </w:tcBorders>
            <w:noWrap/>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行政处罚</w:t>
            </w:r>
          </w:p>
        </w:tc>
        <w:tc>
          <w:tcPr>
            <w:tcW w:w="2369" w:type="dxa"/>
            <w:tcBorders>
              <w:top w:val="nil"/>
              <w:left w:val="nil"/>
              <w:bottom w:val="single" w:color="auto" w:sz="8" w:space="0"/>
              <w:right w:val="single" w:color="auto" w:sz="8" w:space="0"/>
            </w:tcBorders>
            <w:noWrap/>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rPr>
          <w:trHeight w:val="409" w:hRule="atLeast"/>
        </w:trPr>
        <w:tc>
          <w:tcPr>
            <w:tcW w:w="2906" w:type="dxa"/>
            <w:tcBorders>
              <w:top w:val="nil"/>
              <w:left w:val="single" w:color="auto" w:sz="8" w:space="0"/>
              <w:bottom w:val="single" w:color="auto" w:sz="8" w:space="0"/>
              <w:right w:val="single" w:color="auto" w:sz="8" w:space="0"/>
            </w:tcBorders>
            <w:noWrap/>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行政强制</w:t>
            </w:r>
          </w:p>
        </w:tc>
        <w:tc>
          <w:tcPr>
            <w:tcW w:w="2369" w:type="dxa"/>
            <w:tcBorders>
              <w:top w:val="nil"/>
              <w:left w:val="nil"/>
              <w:bottom w:val="single" w:color="auto" w:sz="8" w:space="0"/>
              <w:right w:val="single" w:color="auto" w:sz="8" w:space="0"/>
            </w:tcBorders>
            <w:noWrap/>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rPr>
          <w:trHeight w:val="474" w:hRule="atLeast"/>
        </w:trPr>
        <w:tc>
          <w:tcPr>
            <w:tcW w:w="836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第二十条第（八）项</w:t>
            </w:r>
          </w:p>
        </w:tc>
      </w:tr>
      <w:tr>
        <w:tblPrEx>
          <w:tblCellMar>
            <w:top w:w="0" w:type="dxa"/>
            <w:left w:w="0" w:type="dxa"/>
            <w:bottom w:w="0" w:type="dxa"/>
            <w:right w:w="0" w:type="dxa"/>
          </w:tblCellMar>
        </w:tblPrEx>
        <w:trPr>
          <w:trHeight w:val="270"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上一年项目</w:t>
            </w:r>
          </w:p>
          <w:p>
            <w:pPr>
              <w:widowControl/>
              <w:spacing w:line="44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数量</w:t>
            </w:r>
          </w:p>
        </w:tc>
        <w:tc>
          <w:tcPr>
            <w:tcW w:w="308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本年增/减</w:t>
            </w:r>
          </w:p>
        </w:tc>
      </w:tr>
      <w:tr>
        <w:tblPrEx>
          <w:tblCellMar>
            <w:top w:w="0" w:type="dxa"/>
            <w:left w:w="0" w:type="dxa"/>
            <w:bottom w:w="0" w:type="dxa"/>
            <w:right w:w="0" w:type="dxa"/>
          </w:tblCellMar>
        </w:tblPrEx>
        <w:trPr>
          <w:trHeight w:val="551"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行政事业性收费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308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rPr>
          <w:trHeight w:val="476" w:hRule="atLeast"/>
        </w:trPr>
        <w:tc>
          <w:tcPr>
            <w:tcW w:w="836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第二十条第（九）项</w:t>
            </w:r>
          </w:p>
        </w:tc>
      </w:tr>
      <w:tr>
        <w:tblPrEx>
          <w:tblCellMar>
            <w:top w:w="0" w:type="dxa"/>
            <w:left w:w="0" w:type="dxa"/>
            <w:bottom w:w="0" w:type="dxa"/>
            <w:right w:w="0" w:type="dxa"/>
          </w:tblCellMar>
        </w:tblPrEx>
        <w:trPr>
          <w:trHeight w:val="585"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采购项目数量</w:t>
            </w:r>
          </w:p>
        </w:tc>
        <w:tc>
          <w:tcPr>
            <w:tcW w:w="308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采购总金额</w:t>
            </w:r>
          </w:p>
        </w:tc>
      </w:tr>
      <w:tr>
        <w:tblPrEx>
          <w:tblCellMar>
            <w:top w:w="0" w:type="dxa"/>
            <w:left w:w="0" w:type="dxa"/>
            <w:bottom w:w="0" w:type="dxa"/>
            <w:right w:w="0" w:type="dxa"/>
          </w:tblCellMar>
        </w:tblPrEx>
        <w:trPr>
          <w:trHeight w:val="539" w:hRule="atLeast"/>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政府集中采购</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308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bl>
    <w:p>
      <w:pPr>
        <w:widowControl/>
        <w:shd w:val="clear" w:color="auto" w:fill="FFFFFF"/>
        <w:wordWrap w:val="0"/>
        <w:spacing w:line="680" w:lineRule="atLeast"/>
        <w:ind w:firstLine="482"/>
        <w:rPr>
          <w:rFonts w:ascii="Times New Roman" w:hAnsi="Times New Roman" w:eastAsia="微软雅黑" w:cs="Times New Roman"/>
          <w:color w:val="333333"/>
          <w:kern w:val="0"/>
          <w:szCs w:val="21"/>
        </w:rPr>
      </w:pPr>
      <w:r>
        <w:rPr>
          <w:rFonts w:hint="eastAsia" w:ascii="黑体" w:hAnsi="黑体" w:eastAsia="黑体" w:cs="Times New Roman"/>
          <w:b/>
          <w:bCs/>
          <w:color w:val="333333"/>
          <w:kern w:val="0"/>
          <w:sz w:val="32"/>
          <w:szCs w:val="32"/>
        </w:rPr>
        <w:t>三、收到和处理政府信息公开申请情况</w:t>
      </w:r>
    </w:p>
    <w:tbl>
      <w:tblPr>
        <w:tblStyle w:val="4"/>
        <w:tblW w:w="8539" w:type="dxa"/>
        <w:tblInd w:w="959" w:type="dxa"/>
        <w:tblLayout w:type="autofit"/>
        <w:tblCellMar>
          <w:top w:w="0" w:type="dxa"/>
          <w:left w:w="0" w:type="dxa"/>
          <w:bottom w:w="0" w:type="dxa"/>
          <w:right w:w="0" w:type="dxa"/>
        </w:tblCellMar>
      </w:tblPr>
      <w:tblGrid>
        <w:gridCol w:w="660"/>
        <w:gridCol w:w="1176"/>
        <w:gridCol w:w="1499"/>
        <w:gridCol w:w="779"/>
        <w:gridCol w:w="696"/>
        <w:gridCol w:w="779"/>
        <w:gridCol w:w="779"/>
        <w:gridCol w:w="779"/>
        <w:gridCol w:w="696"/>
        <w:gridCol w:w="696"/>
      </w:tblGrid>
      <w:tr>
        <w:tblPrEx>
          <w:tblCellMar>
            <w:top w:w="0" w:type="dxa"/>
            <w:left w:w="0" w:type="dxa"/>
            <w:bottom w:w="0" w:type="dxa"/>
            <w:right w:w="0" w:type="dxa"/>
          </w:tblCellMar>
        </w:tblPrEx>
        <w:trPr>
          <w:trHeight w:val="1795" w:hRule="atLeast"/>
        </w:trPr>
        <w:tc>
          <w:tcPr>
            <w:tcW w:w="317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（本列数据的勾稽关系为：第一项加第二项之和，等于第三项加第四项之和）</w:t>
            </w:r>
          </w:p>
        </w:tc>
        <w:tc>
          <w:tcPr>
            <w:tcW w:w="536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申请人情况</w:t>
            </w:r>
          </w:p>
        </w:tc>
      </w:tr>
      <w:tr>
        <w:tblPrEx>
          <w:tblCellMar>
            <w:top w:w="0" w:type="dxa"/>
            <w:left w:w="0" w:type="dxa"/>
            <w:bottom w:w="0" w:type="dxa"/>
            <w:right w:w="0" w:type="dxa"/>
          </w:tblCellMar>
        </w:tblPrEx>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1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自然人</w:t>
            </w:r>
          </w:p>
        </w:tc>
        <w:tc>
          <w:tcPr>
            <w:tcW w:w="384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法人或其他组织</w:t>
            </w:r>
          </w:p>
        </w:tc>
        <w:tc>
          <w:tcPr>
            <w:tcW w:w="69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总计</w:t>
            </w:r>
          </w:p>
        </w:tc>
      </w:tr>
      <w:tr>
        <w:tblPrEx>
          <w:tblCellMar>
            <w:top w:w="0" w:type="dxa"/>
            <w:left w:w="0" w:type="dxa"/>
            <w:bottom w:w="0" w:type="dxa"/>
            <w:right w:w="0" w:type="dxa"/>
          </w:tblCellMar>
        </w:tblPrEx>
        <w:trPr>
          <w:trHeight w:val="3823" w:hRule="atLeast"/>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商业企业</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科研机构</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社会公益组织</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法律服务机构</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其他</w:t>
            </w: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r>
      <w:tr>
        <w:tblPrEx>
          <w:tblCellMar>
            <w:top w:w="0" w:type="dxa"/>
            <w:left w:w="0" w:type="dxa"/>
            <w:bottom w:w="0" w:type="dxa"/>
            <w:right w:w="0" w:type="dxa"/>
          </w:tblCellMar>
        </w:tblPrEx>
        <w:tc>
          <w:tcPr>
            <w:tcW w:w="3177" w:type="dxa"/>
            <w:gridSpan w:val="3"/>
            <w:tcBorders>
              <w:top w:val="nil"/>
              <w:left w:val="single" w:color="auto" w:sz="8" w:space="0"/>
              <w:bottom w:val="single" w:color="auto" w:sz="8" w:space="0"/>
              <w:right w:val="single" w:color="auto" w:sz="8" w:space="0"/>
            </w:tcBorders>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一、本年新收政府信息公开申请数量</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3177" w:type="dxa"/>
            <w:gridSpan w:val="3"/>
            <w:tcBorders>
              <w:top w:val="nil"/>
              <w:left w:val="single" w:color="auto" w:sz="8" w:space="0"/>
              <w:bottom w:val="single" w:color="auto" w:sz="8" w:space="0"/>
              <w:right w:val="single" w:color="auto" w:sz="8" w:space="0"/>
            </w:tcBorders>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二、上年结转政府信息公开申请数量</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194" w:type="dxa"/>
            <w:vMerge w:val="restart"/>
            <w:tcBorders>
              <w:top w:val="nil"/>
              <w:left w:val="single" w:color="auto" w:sz="8" w:space="0"/>
              <w:bottom w:val="single" w:color="auto" w:sz="8" w:space="0"/>
              <w:right w:val="single" w:color="auto" w:sz="8" w:space="0"/>
            </w:tcBorders>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三、本年度办理结果</w:t>
            </w:r>
          </w:p>
        </w:tc>
        <w:tc>
          <w:tcPr>
            <w:tcW w:w="2983" w:type="dxa"/>
            <w:gridSpan w:val="2"/>
            <w:tcBorders>
              <w:top w:val="nil"/>
              <w:left w:val="nil"/>
              <w:bottom w:val="single" w:color="auto" w:sz="8" w:space="0"/>
              <w:right w:val="single" w:color="auto" w:sz="8" w:space="0"/>
            </w:tcBorders>
            <w:vAlign w:val="center"/>
          </w:tcPr>
          <w:p>
            <w:pPr>
              <w:widowControl/>
              <w:spacing w:line="68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（一）予以公开</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983" w:type="dxa"/>
            <w:gridSpan w:val="2"/>
            <w:tcBorders>
              <w:top w:val="nil"/>
              <w:left w:val="nil"/>
              <w:bottom w:val="single" w:color="auto" w:sz="8" w:space="0"/>
              <w:right w:val="single" w:color="auto" w:sz="8" w:space="0"/>
            </w:tcBorders>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（二）部分公开（区分处理的，只计这一情形，不计其他情形）</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1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（三）不予公开</w:t>
            </w: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1.属于国家秘密</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2.其他法律行政法规禁止公开</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3.危及“三安全一稳定”</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4.保护第三方合法权益</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5.属于三类内部事务信息</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6.属于四类过程性信息</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7.属于行政执法案卷</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8.属于行政查询事项</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1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（四）无法提供</w:t>
            </w: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1.本机关不掌握相关政府信息</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2.没有现成信息需要另行制作</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3.补正后申请内容仍不明确</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1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（五）不予处理</w:t>
            </w: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1.信访举报投诉类申请</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2.重复申请</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3.要求提供公开出版物</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4.无正当理由大量反复申请</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5.要求行政机关确认或重新出具已获取信息</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983" w:type="dxa"/>
            <w:gridSpan w:val="2"/>
            <w:tcBorders>
              <w:top w:val="nil"/>
              <w:left w:val="nil"/>
              <w:bottom w:val="single" w:color="auto" w:sz="8" w:space="0"/>
              <w:right w:val="single" w:color="auto" w:sz="8" w:space="0"/>
            </w:tcBorders>
            <w:vAlign w:val="center"/>
          </w:tcPr>
          <w:p>
            <w:pPr>
              <w:widowControl/>
              <w:spacing w:line="68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（六）其他处理</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r>
              <w:rPr>
                <w:rFonts w:hint="eastAsia" w:ascii="宋体" w:hAnsi="宋体" w:eastAsia="宋体" w:cs="Times New Roman"/>
                <w:kern w:val="0"/>
                <w:sz w:val="32"/>
                <w:szCs w:val="32"/>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r>
              <w:rPr>
                <w:rFonts w:hint="eastAsia" w:ascii="宋体" w:hAnsi="宋体" w:eastAsia="宋体" w:cs="Times New Roman"/>
                <w:kern w:val="0"/>
                <w:sz w:val="32"/>
                <w:szCs w:val="32"/>
              </w:rPr>
              <w:t> </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983" w:type="dxa"/>
            <w:gridSpan w:val="2"/>
            <w:tcBorders>
              <w:top w:val="nil"/>
              <w:left w:val="nil"/>
              <w:bottom w:val="single" w:color="auto" w:sz="8" w:space="0"/>
              <w:right w:val="single" w:color="auto" w:sz="8" w:space="0"/>
            </w:tcBorders>
            <w:vAlign w:val="center"/>
          </w:tcPr>
          <w:p>
            <w:pPr>
              <w:widowControl/>
              <w:spacing w:line="68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（七）总计</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r>
              <w:rPr>
                <w:rFonts w:hint="eastAsia" w:ascii="宋体" w:hAnsi="宋体" w:eastAsia="宋体" w:cs="Times New Roman"/>
                <w:kern w:val="0"/>
                <w:sz w:val="32"/>
                <w:szCs w:val="32"/>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r>
              <w:rPr>
                <w:rFonts w:hint="eastAsia" w:ascii="宋体" w:hAnsi="宋体" w:eastAsia="宋体" w:cs="Times New Roman"/>
                <w:kern w:val="0"/>
                <w:sz w:val="32"/>
                <w:szCs w:val="32"/>
              </w:rPr>
              <w:t> </w:t>
            </w:r>
          </w:p>
        </w:tc>
      </w:tr>
      <w:tr>
        <w:tblPrEx>
          <w:tblCellMar>
            <w:top w:w="0" w:type="dxa"/>
            <w:left w:w="0" w:type="dxa"/>
            <w:bottom w:w="0" w:type="dxa"/>
            <w:right w:w="0" w:type="dxa"/>
          </w:tblCellMar>
        </w:tblPrEx>
        <w:tc>
          <w:tcPr>
            <w:tcW w:w="3177" w:type="dxa"/>
            <w:gridSpan w:val="3"/>
            <w:tcBorders>
              <w:top w:val="nil"/>
              <w:left w:val="single" w:color="auto" w:sz="8" w:space="0"/>
              <w:bottom w:val="single" w:color="auto" w:sz="8" w:space="0"/>
              <w:right w:val="single" w:color="auto" w:sz="8" w:space="0"/>
            </w:tcBorders>
            <w:vAlign w:val="center"/>
          </w:tcPr>
          <w:p>
            <w:pPr>
              <w:widowControl/>
              <w:spacing w:line="680" w:lineRule="atLeast"/>
              <w:jc w:val="left"/>
              <w:rPr>
                <w:rFonts w:ascii="Times New Roman" w:hAnsi="Times New Roman" w:eastAsia="宋体" w:cs="Times New Roman"/>
                <w:kern w:val="0"/>
                <w:szCs w:val="21"/>
              </w:rPr>
            </w:pPr>
            <w:r>
              <w:rPr>
                <w:rFonts w:hint="eastAsia" w:ascii="仿宋" w:hAnsi="仿宋" w:eastAsia="仿宋" w:cs="Times New Roman"/>
                <w:kern w:val="0"/>
                <w:sz w:val="32"/>
                <w:szCs w:val="32"/>
              </w:rPr>
              <w:t>四、结转下年度继续办理</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r>
              <w:rPr>
                <w:rFonts w:hint="eastAsia" w:ascii="仿宋" w:hAnsi="仿宋" w:eastAsia="仿宋" w:cs="Times New Roman"/>
                <w:kern w:val="0"/>
                <w:sz w:val="32"/>
                <w:szCs w:val="32"/>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r>
              <w:rPr>
                <w:rFonts w:hint="eastAsia" w:ascii="宋体" w:hAnsi="宋体" w:eastAsia="宋体" w:cs="Times New Roman"/>
                <w:kern w:val="0"/>
                <w:sz w:val="32"/>
                <w:szCs w:val="32"/>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r>
              <w:rPr>
                <w:rFonts w:hint="eastAsia" w:ascii="宋体" w:hAnsi="宋体" w:eastAsia="宋体" w:cs="Times New Roman"/>
                <w:kern w:val="0"/>
                <w:sz w:val="32"/>
                <w:szCs w:val="32"/>
              </w:rPr>
              <w:t> </w:t>
            </w:r>
          </w:p>
        </w:tc>
      </w:tr>
    </w:tbl>
    <w:p>
      <w:pPr>
        <w:widowControl/>
        <w:shd w:val="clear" w:color="auto" w:fill="FFFFFF"/>
        <w:wordWrap w:val="0"/>
        <w:spacing w:line="680" w:lineRule="atLeast"/>
        <w:ind w:firstLine="643"/>
        <w:rPr>
          <w:rFonts w:ascii="Times New Roman" w:hAnsi="Times New Roman" w:eastAsia="微软雅黑" w:cs="Times New Roman"/>
          <w:color w:val="333333"/>
          <w:kern w:val="0"/>
          <w:szCs w:val="21"/>
        </w:rPr>
      </w:pPr>
      <w:r>
        <w:rPr>
          <w:rFonts w:hint="eastAsia" w:ascii="黑体" w:hAnsi="黑体" w:eastAsia="黑体" w:cs="Times New Roman"/>
          <w:b/>
          <w:bCs/>
          <w:color w:val="333333"/>
          <w:kern w:val="0"/>
          <w:sz w:val="32"/>
          <w:szCs w:val="32"/>
        </w:rPr>
        <w:t>四、政府信息公开行政复议、行政诉讼情况</w:t>
      </w:r>
    </w:p>
    <w:tbl>
      <w:tblPr>
        <w:tblStyle w:val="4"/>
        <w:tblW w:w="9166" w:type="dxa"/>
        <w:tblInd w:w="959" w:type="dxa"/>
        <w:tblLayout w:type="autofit"/>
        <w:tblCellMar>
          <w:top w:w="0" w:type="dxa"/>
          <w:left w:w="0" w:type="dxa"/>
          <w:bottom w:w="0" w:type="dxa"/>
          <w:right w:w="0" w:type="dxa"/>
        </w:tblCellMar>
      </w:tblPr>
      <w:tblGrid>
        <w:gridCol w:w="719"/>
        <w:gridCol w:w="607"/>
        <w:gridCol w:w="607"/>
        <w:gridCol w:w="538"/>
        <w:gridCol w:w="536"/>
        <w:gridCol w:w="596"/>
        <w:gridCol w:w="550"/>
        <w:gridCol w:w="550"/>
        <w:gridCol w:w="550"/>
        <w:gridCol w:w="550"/>
        <w:gridCol w:w="550"/>
        <w:gridCol w:w="550"/>
        <w:gridCol w:w="550"/>
        <w:gridCol w:w="1176"/>
        <w:gridCol w:w="537"/>
      </w:tblGrid>
      <w:tr>
        <w:tblPrEx>
          <w:tblCellMar>
            <w:top w:w="0" w:type="dxa"/>
            <w:left w:w="0" w:type="dxa"/>
            <w:bottom w:w="0" w:type="dxa"/>
            <w:right w:w="0" w:type="dxa"/>
          </w:tblCellMar>
        </w:tblPrEx>
        <w:tc>
          <w:tcPr>
            <w:tcW w:w="309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行政复议</w:t>
            </w:r>
          </w:p>
        </w:tc>
        <w:tc>
          <w:tcPr>
            <w:tcW w:w="5836" w:type="dxa"/>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行政诉讼</w:t>
            </w:r>
          </w:p>
        </w:tc>
        <w:tc>
          <w:tcPr>
            <w:tcW w:w="240" w:type="dxa"/>
            <w:tcBorders>
              <w:top w:val="nil"/>
              <w:left w:val="nil"/>
              <w:bottom w:val="single" w:color="auto" w:sz="8" w:space="0"/>
              <w:right w:val="nil"/>
            </w:tcBorders>
            <w:vAlign w:val="center"/>
          </w:tcPr>
          <w:p>
            <w:pPr>
              <w:widowControl/>
              <w:spacing w:line="33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0" w:type="dxa"/>
            <w:bottom w:w="0" w:type="dxa"/>
            <w:right w:w="0" w:type="dxa"/>
          </w:tblCellMar>
        </w:tblPrEx>
        <w:tc>
          <w:tcPr>
            <w:tcW w:w="7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结果维持</w:t>
            </w:r>
          </w:p>
        </w:tc>
        <w:tc>
          <w:tcPr>
            <w:tcW w:w="6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结果纠正</w:t>
            </w:r>
          </w:p>
        </w:tc>
        <w:tc>
          <w:tcPr>
            <w:tcW w:w="6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其他结果</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尚未审结</w:t>
            </w:r>
          </w:p>
        </w:tc>
        <w:tc>
          <w:tcPr>
            <w:tcW w:w="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总计</w:t>
            </w:r>
          </w:p>
        </w:tc>
        <w:tc>
          <w:tcPr>
            <w:tcW w:w="282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未经复议直接起诉</w:t>
            </w:r>
          </w:p>
        </w:tc>
        <w:tc>
          <w:tcPr>
            <w:tcW w:w="324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68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复议后起诉</w:t>
            </w:r>
          </w:p>
        </w:tc>
      </w:tr>
      <w:tr>
        <w:tc>
          <w:tcPr>
            <w:tcW w:w="768" w:type="dxa"/>
            <w:vMerge w:val="restart"/>
            <w:tcBorders>
              <w:top w:val="nil"/>
              <w:left w:val="single" w:color="auto" w:sz="8" w:space="0"/>
              <w:bottom w:val="single" w:color="auto" w:sz="8" w:space="0"/>
              <w:right w:val="single" w:color="auto" w:sz="8" w:space="0"/>
            </w:tcBorders>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26" w:type="dxa"/>
            <w:vMerge w:val="restart"/>
            <w:tcBorders>
              <w:top w:val="nil"/>
              <w:left w:val="nil"/>
              <w:bottom w:val="single" w:color="auto" w:sz="8" w:space="0"/>
              <w:right w:val="single" w:color="auto" w:sz="8" w:space="0"/>
            </w:tcBorders>
            <w:vAlign w:val="center"/>
          </w:tcPr>
          <w:p>
            <w:pPr>
              <w:widowControl/>
              <w:spacing w:line="400" w:lineRule="atLeast"/>
              <w:ind w:firstLine="160"/>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26" w:type="dxa"/>
            <w:vMerge w:val="restart"/>
            <w:tcBorders>
              <w:top w:val="nil"/>
              <w:left w:val="nil"/>
              <w:bottom w:val="single" w:color="auto" w:sz="8" w:space="0"/>
              <w:right w:val="single" w:color="auto" w:sz="8" w:space="0"/>
            </w:tcBorders>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38" w:type="dxa"/>
            <w:vMerge w:val="restart"/>
            <w:tcBorders>
              <w:top w:val="nil"/>
              <w:left w:val="nil"/>
              <w:bottom w:val="single" w:color="auto" w:sz="8" w:space="0"/>
              <w:right w:val="single" w:color="auto" w:sz="8" w:space="0"/>
            </w:tcBorders>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36" w:type="dxa"/>
            <w:vMerge w:val="restart"/>
            <w:tcBorders>
              <w:top w:val="nil"/>
              <w:left w:val="nil"/>
              <w:bottom w:val="single" w:color="auto" w:sz="8" w:space="0"/>
              <w:right w:val="single" w:color="auto" w:sz="8" w:space="0"/>
            </w:tcBorders>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6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结果维持</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结果纠正</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其他结果</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尚未审结</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总计</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结果维持</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结果纠正</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其他结果</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尚未审结</w:t>
            </w:r>
          </w:p>
        </w:tc>
        <w:tc>
          <w:tcPr>
            <w:tcW w:w="2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总计</w:t>
            </w:r>
          </w:p>
        </w:tc>
      </w:tr>
      <w:tr>
        <w:tblPrEx>
          <w:tblCellMar>
            <w:top w:w="0" w:type="dxa"/>
            <w:left w:w="0" w:type="dxa"/>
            <w:bottom w:w="0" w:type="dxa"/>
            <w:right w:w="0" w:type="dxa"/>
          </w:tblCellMar>
        </w:tblPrEx>
        <w:trPr>
          <w:trHeight w:val="763"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5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13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c>
          <w:tcPr>
            <w:tcW w:w="2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imes New Roman" w:hAnsi="Times New Roman" w:eastAsia="宋体" w:cs="Times New Roman"/>
                <w:kern w:val="0"/>
                <w:szCs w:val="21"/>
              </w:rPr>
            </w:pPr>
            <w:r>
              <w:rPr>
                <w:rFonts w:hint="eastAsia" w:ascii="仿宋" w:hAnsi="仿宋" w:eastAsia="仿宋" w:cs="Times New Roman"/>
                <w:kern w:val="0"/>
                <w:sz w:val="32"/>
                <w:szCs w:val="32"/>
              </w:rPr>
              <w:t>0</w:t>
            </w:r>
          </w:p>
        </w:tc>
      </w:tr>
    </w:tbl>
    <w:p>
      <w:pPr>
        <w:widowControl/>
        <w:shd w:val="clear" w:color="auto" w:fill="FFFFFF"/>
        <w:wordWrap w:val="0"/>
        <w:spacing w:line="720" w:lineRule="atLeast"/>
        <w:ind w:firstLine="643"/>
        <w:rPr>
          <w:rFonts w:ascii="Times New Roman" w:hAnsi="Times New Roman" w:eastAsia="微软雅黑" w:cs="Times New Roman"/>
          <w:color w:val="333333"/>
          <w:kern w:val="0"/>
          <w:szCs w:val="21"/>
        </w:rPr>
      </w:pPr>
      <w:r>
        <w:rPr>
          <w:rFonts w:hint="eastAsia" w:ascii="黑体" w:hAnsi="黑体" w:eastAsia="黑体" w:cs="Times New Roman"/>
          <w:b/>
          <w:bCs/>
          <w:color w:val="333333"/>
          <w:kern w:val="0"/>
          <w:sz w:val="32"/>
          <w:szCs w:val="32"/>
        </w:rPr>
        <w:t>五、存在的主要问题及改进情况</w:t>
      </w:r>
    </w:p>
    <w:p>
      <w:pPr>
        <w:widowControl/>
        <w:shd w:val="clear" w:color="auto" w:fill="FFFFFF"/>
        <w:wordWrap w:val="0"/>
        <w:spacing w:line="660" w:lineRule="atLeast"/>
        <w:ind w:firstLine="640"/>
        <w:rPr>
          <w:rFonts w:ascii="Times New Roman" w:hAnsi="Times New Roman" w:eastAsia="微软雅黑" w:cs="Times New Roman"/>
          <w:color w:val="333333"/>
          <w:kern w:val="0"/>
          <w:sz w:val="24"/>
          <w:szCs w:val="24"/>
        </w:rPr>
      </w:pPr>
      <w:r>
        <w:rPr>
          <w:rFonts w:hint="eastAsia" w:ascii="宋体" w:hAnsi="宋体" w:eastAsia="宋体" w:cs="宋体"/>
          <w:color w:val="333333"/>
          <w:kern w:val="0"/>
          <w:sz w:val="32"/>
          <w:szCs w:val="32"/>
        </w:rPr>
        <w:t> </w:t>
      </w:r>
      <w:r>
        <w:rPr>
          <w:rFonts w:hint="eastAsia" w:ascii="仿宋" w:hAnsi="仿宋" w:eastAsia="仿宋" w:cs="仿宋"/>
          <w:color w:val="333333"/>
          <w:kern w:val="0"/>
          <w:sz w:val="32"/>
          <w:szCs w:val="32"/>
        </w:rPr>
        <w:t>2020</w:t>
      </w:r>
      <w:r>
        <w:rPr>
          <w:rFonts w:hint="eastAsia" w:ascii="仿宋" w:hAnsi="仿宋" w:eastAsia="仿宋" w:cs="Times New Roman"/>
          <w:color w:val="333333"/>
          <w:kern w:val="0"/>
          <w:sz w:val="32"/>
          <w:szCs w:val="32"/>
        </w:rPr>
        <w:t>年我局的政务公开工作取得了一定的成绩，但工作中也存在一些缺陷和不足，如：有些公开的政务信息质量不高；政策解读工作力度不够；政务公开工作机制不够完善等。</w:t>
      </w:r>
    </w:p>
    <w:p>
      <w:pPr>
        <w:widowControl/>
        <w:shd w:val="clear" w:color="auto" w:fill="FFFFFF"/>
        <w:wordWrap w:val="0"/>
        <w:spacing w:line="660" w:lineRule="atLeast"/>
        <w:ind w:firstLine="640"/>
        <w:rPr>
          <w:rFonts w:ascii="Times New Roman" w:hAnsi="Times New Roman" w:eastAsia="微软雅黑" w:cs="Times New Roman"/>
          <w:color w:val="333333"/>
          <w:kern w:val="0"/>
          <w:sz w:val="24"/>
          <w:szCs w:val="24"/>
        </w:rPr>
      </w:pPr>
      <w:r>
        <w:rPr>
          <w:rFonts w:hint="eastAsia" w:ascii="仿宋" w:hAnsi="仿宋" w:eastAsia="仿宋" w:cs="Times New Roman"/>
          <w:color w:val="333333"/>
          <w:kern w:val="0"/>
          <w:sz w:val="32"/>
          <w:szCs w:val="32"/>
        </w:rPr>
        <w:t>改进措施：</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仿宋" w:hAnsi="仿宋" w:eastAsia="仿宋" w:cs="Times New Roman"/>
          <w:color w:val="333333"/>
          <w:kern w:val="0"/>
          <w:sz w:val="32"/>
          <w:szCs w:val="32"/>
        </w:rPr>
        <w:t>1、全面提高信息公开质量。加强我局政务信息全生命周期管理，进一步规范信息获取、制作、审批和公开等相关流程，确保政务信息的权威性、及时性和有效性。</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仿宋" w:hAnsi="仿宋" w:eastAsia="仿宋" w:cs="Times New Roman"/>
          <w:color w:val="333333"/>
          <w:kern w:val="0"/>
          <w:sz w:val="32"/>
          <w:szCs w:val="32"/>
        </w:rPr>
        <w:t>2、进一步加强政策解读。聚焦我局主要职能和民生关切，将政策解读与政策制定同步考虑，通过多种形式开展解读，丰富解读形式，采用图解、专家解读、媒体解读等形式让百姓更准确便捷理解政策内涵。</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仿宋" w:hAnsi="仿宋" w:eastAsia="仿宋" w:cs="Times New Roman"/>
          <w:color w:val="333333"/>
          <w:kern w:val="0"/>
          <w:sz w:val="32"/>
          <w:szCs w:val="32"/>
        </w:rPr>
        <w:t>3、进一步优化公开机制。加强和规范我局网站、市政府信息公开系统等平台管理，完善落实相关制度，严格按时间节点，及时更新动态栏目信息，按时办理回复网民留言，主动回应社会关切，稳步推进我局政务公开工作。</w:t>
      </w:r>
    </w:p>
    <w:p>
      <w:pPr>
        <w:widowControl/>
        <w:shd w:val="clear" w:color="auto" w:fill="FFFFFF"/>
        <w:wordWrap w:val="0"/>
        <w:spacing w:line="660" w:lineRule="atLeast"/>
        <w:ind w:firstLine="643"/>
        <w:rPr>
          <w:rFonts w:ascii="Times New Roman" w:hAnsi="Times New Roman" w:eastAsia="微软雅黑" w:cs="Times New Roman"/>
          <w:color w:val="333333"/>
          <w:kern w:val="0"/>
          <w:szCs w:val="21"/>
        </w:rPr>
      </w:pPr>
      <w:r>
        <w:rPr>
          <w:rFonts w:hint="eastAsia" w:ascii="黑体" w:hAnsi="黑体" w:eastAsia="黑体" w:cs="Times New Roman"/>
          <w:b/>
          <w:bCs/>
          <w:color w:val="333333"/>
          <w:kern w:val="0"/>
          <w:sz w:val="32"/>
          <w:szCs w:val="32"/>
        </w:rPr>
        <w:t>六、其他需要报告的事项</w:t>
      </w:r>
    </w:p>
    <w:p>
      <w:pPr>
        <w:widowControl/>
        <w:shd w:val="clear" w:color="auto" w:fill="FFFFFF"/>
        <w:wordWrap w:val="0"/>
        <w:spacing w:line="660" w:lineRule="atLeast"/>
        <w:ind w:firstLine="640"/>
        <w:rPr>
          <w:rFonts w:ascii="Times New Roman" w:hAnsi="Times New Roman" w:eastAsia="微软雅黑" w:cs="Times New Roman"/>
          <w:color w:val="333333"/>
          <w:kern w:val="0"/>
          <w:szCs w:val="21"/>
        </w:rPr>
      </w:pPr>
      <w:r>
        <w:rPr>
          <w:rFonts w:hint="eastAsia" w:ascii="宋体" w:hAnsi="宋体" w:eastAsia="宋体" w:cs="宋体"/>
          <w:color w:val="333333"/>
          <w:kern w:val="0"/>
          <w:sz w:val="32"/>
          <w:szCs w:val="32"/>
        </w:rPr>
        <w:t> </w:t>
      </w:r>
      <w:r>
        <w:rPr>
          <w:rFonts w:hint="eastAsia" w:ascii="仿宋" w:hAnsi="仿宋" w:eastAsia="仿宋" w:cs="仿宋"/>
          <w:color w:val="333333"/>
          <w:kern w:val="0"/>
          <w:sz w:val="32"/>
          <w:szCs w:val="32"/>
        </w:rPr>
        <w:t>2020</w:t>
      </w:r>
      <w:r>
        <w:rPr>
          <w:rFonts w:hint="eastAsia" w:ascii="仿宋" w:hAnsi="仿宋" w:eastAsia="仿宋" w:cs="Times New Roman"/>
          <w:color w:val="333333"/>
          <w:kern w:val="0"/>
          <w:sz w:val="32"/>
          <w:szCs w:val="32"/>
        </w:rPr>
        <w:t>年我局扎实做好防范化解重大风险信息公开，围绕深入实施</w:t>
      </w:r>
      <w:r>
        <w:rPr>
          <w:rFonts w:ascii="Times New Roman" w:hAnsi="Times New Roman" w:eastAsia="微软雅黑" w:cs="Times New Roman"/>
          <w:color w:val="333333"/>
          <w:kern w:val="0"/>
          <w:sz w:val="32"/>
          <w:szCs w:val="32"/>
        </w:rPr>
        <w:t>“</w:t>
      </w:r>
      <w:r>
        <w:rPr>
          <w:rFonts w:hint="eastAsia" w:ascii="仿宋" w:hAnsi="仿宋" w:eastAsia="仿宋" w:cs="Times New Roman"/>
          <w:color w:val="333333"/>
          <w:kern w:val="0"/>
          <w:sz w:val="32"/>
          <w:szCs w:val="32"/>
        </w:rPr>
        <w:t>1+8+N</w:t>
      </w:r>
      <w:r>
        <w:rPr>
          <w:rFonts w:ascii="Times New Roman" w:hAnsi="Times New Roman" w:eastAsia="微软雅黑" w:cs="Times New Roman"/>
          <w:color w:val="333333"/>
          <w:kern w:val="0"/>
          <w:sz w:val="32"/>
          <w:szCs w:val="32"/>
        </w:rPr>
        <w:t>”</w:t>
      </w:r>
      <w:r>
        <w:rPr>
          <w:rFonts w:hint="eastAsia" w:ascii="仿宋" w:hAnsi="仿宋" w:eastAsia="仿宋" w:cs="Times New Roman"/>
          <w:color w:val="333333"/>
          <w:kern w:val="0"/>
          <w:sz w:val="32"/>
          <w:szCs w:val="32"/>
        </w:rPr>
        <w:t>方案体系，按照市政府办公室的统一部署，认真做好重点领域风险防控和脱贫攻坚信息公开工作，做到信息收集准确、全面，信息发布完整、及时。2020年在我局网站“粮油价格监测周报”栏目中共发布有关信息47条，“收购进度</w:t>
      </w:r>
      <w:r>
        <w:rPr>
          <w:rFonts w:ascii="Times New Roman" w:hAnsi="Times New Roman" w:eastAsia="微软雅黑" w:cs="Times New Roman"/>
          <w:color w:val="333333"/>
          <w:kern w:val="0"/>
          <w:sz w:val="32"/>
          <w:szCs w:val="32"/>
        </w:rPr>
        <w:t>”</w:t>
      </w:r>
      <w:r>
        <w:rPr>
          <w:rFonts w:hint="eastAsia" w:ascii="仿宋" w:hAnsi="仿宋" w:eastAsia="仿宋" w:cs="Times New Roman"/>
          <w:color w:val="333333"/>
          <w:kern w:val="0"/>
          <w:sz w:val="32"/>
          <w:szCs w:val="32"/>
        </w:rPr>
        <w:t>栏目中发布信息28条。为扩大服务范围，我局在市人民政府门户网站“政务公开”栏目中同步发布粮食收购价格和收购进度信息，今年共发布信息75条；加大脱贫攻坚“十大工程</w:t>
      </w:r>
      <w:r>
        <w:rPr>
          <w:rFonts w:ascii="Times New Roman" w:hAnsi="Times New Roman" w:eastAsia="微软雅黑" w:cs="Times New Roman"/>
          <w:color w:val="333333"/>
          <w:kern w:val="0"/>
          <w:sz w:val="32"/>
          <w:szCs w:val="32"/>
        </w:rPr>
        <w:t>”</w:t>
      </w:r>
      <w:r>
        <w:rPr>
          <w:rFonts w:hint="eastAsia" w:ascii="仿宋" w:hAnsi="仿宋" w:eastAsia="仿宋" w:cs="Times New Roman"/>
          <w:color w:val="333333"/>
          <w:kern w:val="0"/>
          <w:sz w:val="32"/>
          <w:szCs w:val="32"/>
        </w:rPr>
        <w:t>、</w:t>
      </w:r>
      <w:r>
        <w:rPr>
          <w:rFonts w:ascii="Times New Roman" w:hAnsi="Times New Roman" w:eastAsia="微软雅黑" w:cs="Times New Roman"/>
          <w:color w:val="333333"/>
          <w:kern w:val="0"/>
          <w:sz w:val="32"/>
          <w:szCs w:val="32"/>
        </w:rPr>
        <w:t>“</w:t>
      </w:r>
      <w:r>
        <w:rPr>
          <w:rFonts w:hint="eastAsia" w:ascii="仿宋" w:hAnsi="仿宋" w:eastAsia="仿宋" w:cs="Times New Roman"/>
          <w:color w:val="333333"/>
          <w:kern w:val="0"/>
          <w:sz w:val="32"/>
          <w:szCs w:val="32"/>
        </w:rPr>
        <w:t>两不愁三保障</w:t>
      </w:r>
      <w:r>
        <w:rPr>
          <w:rFonts w:ascii="Times New Roman" w:hAnsi="Times New Roman" w:eastAsia="微软雅黑" w:cs="Times New Roman"/>
          <w:color w:val="333333"/>
          <w:kern w:val="0"/>
          <w:sz w:val="32"/>
          <w:szCs w:val="32"/>
        </w:rPr>
        <w:t>”</w:t>
      </w:r>
      <w:r>
        <w:rPr>
          <w:rFonts w:hint="eastAsia" w:ascii="仿宋" w:hAnsi="仿宋" w:eastAsia="仿宋" w:cs="Times New Roman"/>
          <w:color w:val="333333"/>
          <w:kern w:val="0"/>
          <w:sz w:val="32"/>
          <w:szCs w:val="32"/>
        </w:rPr>
        <w:t>和巩固脱贫成果等信息公开力度，共发布扶贫类信息27条。</w:t>
      </w:r>
    </w:p>
    <w:p>
      <w:pPr>
        <w:widowControl/>
        <w:shd w:val="clear" w:color="auto" w:fill="FFFFFF"/>
        <w:wordWrap w:val="0"/>
        <w:spacing w:line="680" w:lineRule="atLeast"/>
        <w:ind w:firstLine="640"/>
        <w:rPr>
          <w:rFonts w:ascii="Times New Roman" w:hAnsi="Times New Roman" w:eastAsia="微软雅黑" w:cs="Times New Roman"/>
          <w:color w:val="333333"/>
          <w:kern w:val="0"/>
          <w:szCs w:val="21"/>
        </w:rPr>
      </w:pPr>
      <w:r>
        <w:rPr>
          <w:rFonts w:hint="eastAsia" w:ascii="宋体" w:hAnsi="宋体" w:eastAsia="宋体" w:cs="宋体"/>
          <w:color w:val="333333"/>
          <w:kern w:val="0"/>
          <w:sz w:val="32"/>
          <w:szCs w:val="32"/>
        </w:rPr>
        <w:t> </w:t>
      </w:r>
    </w:p>
    <w:p>
      <w:pPr>
        <w:widowControl/>
        <w:shd w:val="clear" w:color="auto" w:fill="FFFFFF"/>
        <w:wordWrap w:val="0"/>
        <w:spacing w:line="680" w:lineRule="atLeast"/>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hd w:val="clear" w:color="auto" w:fill="FFFFFF"/>
        <w:wordWrap w:val="0"/>
        <w:spacing w:line="680" w:lineRule="atLeast"/>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r>
        <w:rPr>
          <w:rFonts w:hint="eastAsia" w:ascii="宋体" w:hAnsi="宋体" w:eastAsia="宋体" w:cs="宋体"/>
          <w:color w:val="333333"/>
          <w:kern w:val="0"/>
          <w:sz w:val="32"/>
          <w:szCs w:val="32"/>
        </w:rPr>
        <w:t xml:space="preserve">          </w:t>
      </w:r>
      <w:r>
        <w:rPr>
          <w:rFonts w:hint="eastAsia" w:ascii="仿宋" w:hAnsi="仿宋" w:eastAsia="仿宋" w:cs="仿宋"/>
          <w:color w:val="333333"/>
          <w:kern w:val="0"/>
          <w:sz w:val="32"/>
          <w:szCs w:val="32"/>
        </w:rPr>
        <w:t>2021</w:t>
      </w:r>
      <w:r>
        <w:rPr>
          <w:rFonts w:hint="eastAsia" w:ascii="仿宋" w:hAnsi="仿宋" w:eastAsia="仿宋" w:cs="Times New Roman"/>
          <w:color w:val="333333"/>
          <w:kern w:val="0"/>
          <w:sz w:val="32"/>
          <w:szCs w:val="32"/>
        </w:rPr>
        <w:t>年1月29日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lNThlYmVhZTllNGNlYzlmOThkZTEzMWEzYmQ0NzIifQ=="/>
  </w:docVars>
  <w:rsids>
    <w:rsidRoot w:val="00D720D2"/>
    <w:rsid w:val="00C00395"/>
    <w:rsid w:val="00D720D2"/>
    <w:rsid w:val="2608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标题 1 Char"/>
    <w:basedOn w:val="5"/>
    <w:link w:val="2"/>
    <w:qFormat/>
    <w:uiPriority w:val="9"/>
    <w:rPr>
      <w:rFonts w:ascii="宋体" w:hAnsi="宋体" w:eastAsia="宋体" w:cs="宋体"/>
      <w:b/>
      <w:bCs/>
      <w:kern w:val="36"/>
      <w:sz w:val="48"/>
      <w:szCs w:val="48"/>
    </w:rPr>
  </w:style>
  <w:style w:type="character" w:customStyle="1" w:styleId="8">
    <w:name w:val="fbsj"/>
    <w:basedOn w:val="5"/>
    <w:qFormat/>
    <w:uiPriority w:val="0"/>
  </w:style>
  <w:style w:type="character" w:customStyle="1" w:styleId="9">
    <w:name w:val="fontsize"/>
    <w:basedOn w:val="5"/>
    <w:qFormat/>
    <w:uiPriority w:val="0"/>
  </w:style>
  <w:style w:type="character" w:customStyle="1" w:styleId="10">
    <w:name w:val="wz_bg"/>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4019</Words>
  <Characters>4213</Characters>
  <Lines>35</Lines>
  <Paragraphs>9</Paragraphs>
  <TotalTime>8</TotalTime>
  <ScaleCrop>false</ScaleCrop>
  <LinksUpToDate>false</LinksUpToDate>
  <CharactersWithSpaces>4309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2022-01-30T00:49:00Z</dcterms:created>
  <dc:creator>微软用户</dc:creator>
  <cp:lastModifiedBy>崔爱民</cp:lastModifiedBy>
  <dcterms:modified xsi:type="dcterms:W3CDTF">2023-01-18T04:03:35Z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C70419923ADD4DA88074C1FE99024A12</vt:lpwstr>
  </property>
</Properties>
</file>